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新就业形态劳动者权益维护服务指南</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32"/>
          <w:szCs w:val="32"/>
        </w:rPr>
      </w:pPr>
      <w:r>
        <w:rPr>
          <w:rFonts w:hint="eastAsia" w:ascii="宋体" w:hAnsi="宋体" w:eastAsia="宋体" w:cs="宋体"/>
          <w:b/>
          <w:bCs/>
          <w:sz w:val="32"/>
          <w:szCs w:val="32"/>
        </w:rPr>
        <w:t>第一章</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总</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为健全新就业形态劳动者权益维护机制，畅通维权渠道、及时、便捷、高质量化解涉新就业形态劳动纠纷，切实维护好新就业形态劳动者权益，促进平台经济持续健康发展，制定本指南。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政府行政部门、法院、工会、企业代表组织、平台企业等要不断探索创新适合新就业形态特点的劳动者维权服务方式，改进和优化对新就业形态劳动者的维权服务。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新就业形态劳动者维护自身权益时应当依法合理表达诉求，不得采取违法和过激形式。</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第二章</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企业内部劳动纠纷化解机制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平台企业要建立健全与新</w:t>
      </w:r>
      <w:bookmarkStart w:id="0" w:name="_GoBack"/>
      <w:bookmarkEnd w:id="0"/>
      <w:r>
        <w:rPr>
          <w:rFonts w:hint="eastAsia" w:ascii="仿宋" w:hAnsi="仿宋" w:eastAsia="仿宋" w:cs="仿宋"/>
          <w:sz w:val="32"/>
          <w:szCs w:val="32"/>
        </w:rPr>
        <w:t>就业形态劳动者的常态化沟通机制和新就业形态劳动者申诉机制，畅通线上和线下沟通渠道。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新就业形态劳动者可向平台企业反映对平台劳动规则的意见建议或其他合理诉求，平台企业要认真听取并作出回应。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新就业形态劳动者认为平台用工合作企业侵犯其合法权益的，可向平台企业投诉。平台企业要积极核查，协调处理。情况属实的，要督促用工合作企业及时整改。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第七条 新就业形态劳动者对报酬计算、服务时长、服务费用扣减、奖惩、平台用工合作企业管理服务等有异议的，或遭遇职场欺凌、骚扰的，可向平台企业反映或申诉，平台企业要在承诺时间内予以回应并公正处理。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新就业形态劳动者认为自身劳动权益受到侵害时，可优先与企业协商解决，也可请工会或第三方组织共同与企业协商解决。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第九条 鼓励平台企业成立由工会代表、新就业形态劳动者代表和企业代表参加的企业内部劳动纠纷调解委员会，提供涉新就业形态劳动者劳动纠纷调解服务。新就业形态劳动者认为自身劳动权益受到侵害时，可向企业劳动纠纷调解委员会提出。调解委员会应当及时核实情况，协调企业进行整改或者向劳动者做出说明。</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第三章</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工会权益维护服务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新就业形态劳动者有权加入工会。工会组织要积极吸收新就业形态劳动者入会。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第十一条 工会组织要及时帮助新就业形态劳动者解决生活和工作中遇到的困难。新就业形态劳动者在生活和工作中遇到困难，可向所在工会组织或当地工会组织请求予以支持和帮助。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工会组织要对平台企业、平台用工合作企业履行用工责任情况进行监督。平台企业、平台用工合作企业违反新就业形态劳动者权益保障相关法律法规政策，工会组织要提出意见或者要求纠正。新就业形态劳动者可向工会组织反映对企业劳动管理的意见建议。工会组织要收集新就业形态劳动者意见，并及时向企业反馈。对工会提出的意见和收集的新就业形态劳动者的意见建议，企业要及时研究，给予答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工会组织要推动平台企业建立常态化的沟通协商机制、代表或组织新就业形态劳动者就涉及劳动者切身利益的事项与平台企业沟通、协商，订立集体合同或协议。新就业形态劳动者有权参与工会与企业组织的恳谈会、集体协商等活动，平台企业、平台用工合作企业应提供便利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新就业形态劳动者认为平台企业、平台用工合作企业侵犯自身劳动权益申请劳动争议仲裁或者向人民法院提起诉讼的，可向工会组织申请法律援助等服务。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新就业形态劳动者可就近在工会组织等建立的服务站点申请协调解决权益维护问题。</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sz w:val="32"/>
          <w:szCs w:val="32"/>
        </w:rPr>
      </w:pPr>
      <w:r>
        <w:rPr>
          <w:rFonts w:hint="eastAsia" w:ascii="宋体" w:hAnsi="宋体" w:eastAsia="宋体" w:cs="宋体"/>
          <w:b/>
          <w:bCs/>
          <w:sz w:val="32"/>
          <w:szCs w:val="32"/>
        </w:rPr>
        <w:t xml:space="preserve">第四章 </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相关部门机构权益维护服务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就业形态劳动者与企业发生纠纷，可向人民调解委员会和各级各类专业性劳动争议调解组织申请调解。经调解达成的调解协议，具有法律约束力，当事人应按照约定履行。符合条件的，可向人民法院申请司法确认或向劳动争议仲裁机构申请置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发生争议后调解不成或当事人不愿调解，符合劳动争议受案范围的，新就业形态劳动者可向实际工作地的劳动争议仲裁机构申请劳动争议仲裁。不符合劳动争议受案范围的，新就业形态劳动者可向人民法院起诉，人民法院应当依法受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符合劳动保障监察职权范围的事项，新就业形态劳动者可向人力资源社会保障行政部门举报投诉。各地人力资源社会保障行政部门应当畅通举报投诉渠道，及时受理新就业形态劳动者的举报投诉，依法维护劳动者合法权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就业形态劳动者可依法向法律援助机构申请法律援助。鼓励法律援助机构在新就业形态劳动者集中工作地或休息地设立法律援助站或者联络点，就近提供法律援助服务，开设新就业形态劳动者法律援助“绿色通道”，提供便捷高效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各地要积极构建新就业形态劳动纠纷多元调解机制，加强劳动人事争议调解与人民调解、行政调解、司法调解协调联动。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鼓励有条件的地方探索创新新就业形态劳动纠纷调处机制，联通法院、人力资源社会保障、司法行政、工会、企业代表组织等各类争议处理资源，建立“一站式”的新就业形态争议调处机构。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鼓励新就业形态劳动者比较集中的市、区以及有条件的县和乡镇、街道，联合相关资源力量，组建集咨询疏导、争议调解、劳动仲裁、法律援助、专业审判于一体的新就业形态劳动用工争议多元化解中心。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新就业形态劳动者生活困难需要救助的，可向有关部门申请救助。</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第五章</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附</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pPr>
      <w:r>
        <w:rPr>
          <w:rFonts w:hint="eastAsia" w:ascii="仿宋" w:hAnsi="仿宋" w:eastAsia="仿宋" w:cs="仿宋"/>
          <w:sz w:val="32"/>
          <w:szCs w:val="32"/>
        </w:rPr>
        <w:t>第二十二条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涉新就业形态商事纠纷不适用本指南。</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NmI3MGUyMTgyY2I2YzU0MmFlOGY1N2VjMmIyYTkifQ=="/>
  </w:docVars>
  <w:rsids>
    <w:rsidRoot w:val="00000000"/>
    <w:rsid w:val="5D7F09AD"/>
    <w:rsid w:val="781E4F23"/>
    <w:rsid w:val="7E7FE11E"/>
    <w:rsid w:val="FCBD5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2024-01-02T22:23:00Z</dcterms:created>
  <dc:creator>Administrator</dc:creator>
  <cp:lastModifiedBy>qjj</cp:lastModifiedBy>
  <cp:lastPrinted>2024-01-10T12:50:16Z</cp:lastPrinted>
  <dcterms:modified xsi:type="dcterms:W3CDTF">2024-01-10T12:50:43Z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2764D6E129CFB13014149E65696786B7</vt:lpwstr>
  </property>
</Properties>
</file>